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A000000">
      <w:pPr>
        <w:widowControl w:val="1"/>
        <w:ind w:firstLine="708"/>
        <w:jc w:val="both"/>
      </w:pPr>
      <w:r>
        <w:t>Туймазинск</w:t>
      </w:r>
      <w:r>
        <w:t>ий</w:t>
      </w:r>
      <w:r>
        <w:t xml:space="preserve"> межрайонн</w:t>
      </w:r>
      <w:r>
        <w:t>ый</w:t>
      </w:r>
      <w:r>
        <w:t xml:space="preserve"> </w:t>
      </w:r>
      <w:r>
        <w:t xml:space="preserve">суд вынес приговор в отношении жителя </w:t>
      </w:r>
      <w:r>
        <w:br/>
      </w:r>
      <w:r>
        <w:t>Туймазинского района</w:t>
      </w:r>
      <w:r>
        <w:t>.</w:t>
      </w:r>
    </w:p>
    <w:p w14:paraId="0B000000">
      <w:pPr>
        <w:widowControl w:val="1"/>
        <w:ind w:firstLine="708"/>
        <w:jc w:val="both"/>
      </w:pPr>
      <w:r>
        <w:t xml:space="preserve">Он признан виновным по </w:t>
      </w:r>
      <w:r>
        <w:t>ч. 1</w:t>
      </w:r>
      <w:r>
        <w:t xml:space="preserve"> с</w:t>
      </w:r>
      <w:r>
        <w:t>т.</w:t>
      </w:r>
      <w:r>
        <w:t xml:space="preserve"> </w:t>
      </w:r>
      <w:r>
        <w:t>1</w:t>
      </w:r>
      <w:r>
        <w:t>19</w:t>
      </w:r>
      <w:r>
        <w:t xml:space="preserve"> УК РФ (</w:t>
      </w:r>
      <w:r>
        <w:t>совершение угрозы убийством, если имелись основания опасаться осуществления этой угрозы</w:t>
      </w:r>
      <w:r>
        <w:t>).</w:t>
      </w:r>
    </w:p>
    <w:p w14:paraId="0C000000">
      <w:pPr>
        <w:widowControl w:val="1"/>
        <w:tabs>
          <w:tab w:leader="none" w:pos="4395" w:val="left"/>
        </w:tabs>
        <w:ind w:firstLine="708"/>
        <w:jc w:val="both"/>
      </w:pPr>
      <w:r>
        <w:t>В суде установлено, что 23.06.2025</w:t>
      </w:r>
      <w:r>
        <w:t xml:space="preserve"> </w:t>
      </w:r>
      <w:r>
        <w:t>злоумышленник, находясь на участке местности в деревне Верхние Бишинды, Туймазинского района, с целью психологического воздействия, направленного на запугивание потерпевшего, а также возникновения и формирования у него чувства страха и тревоги, умышленно, в ходе словесного конфликта, подойдя к автомобилю взял  хозяйственный топор, и со словами угрозы убийством «Убью!», демонстрируя реальность исполнения им своих преступных намерений, направился в сторону потерпевшего, который воспринял слова угрозы убийством как реальные и действительные и у него имелись основания опасаться осуществления этих угроз.</w:t>
      </w:r>
    </w:p>
    <w:p w14:paraId="0D000000">
      <w:pPr>
        <w:widowControl w:val="1"/>
        <w:tabs>
          <w:tab w:leader="none" w:pos="4395" w:val="left"/>
        </w:tabs>
        <w:ind w:firstLine="708"/>
        <w:jc w:val="both"/>
      </w:pPr>
      <w:r>
        <w:t>Подсудимый признал вину в совершении преступления.</w:t>
      </w:r>
    </w:p>
    <w:p w14:paraId="0E000000">
      <w:pPr>
        <w:widowControl w:val="1"/>
        <w:tabs>
          <w:tab w:leader="none" w:pos="4395" w:val="left"/>
        </w:tabs>
        <w:ind w:firstLine="708"/>
        <w:jc w:val="both"/>
      </w:pPr>
      <w:r>
        <w:t>Суд назначил ему наказание в виде ограничения свободы на срок 6 месяцев.</w:t>
      </w:r>
    </w:p>
    <w:p w14:paraId="0F000000">
      <w:pPr>
        <w:widowControl w:val="1"/>
        <w:spacing w:line="240" w:lineRule="exact"/>
        <w:ind/>
        <w:jc w:val="both"/>
      </w:pPr>
    </w:p>
    <w:p w14:paraId="10000000">
      <w:pPr>
        <w:widowControl w:val="1"/>
        <w:spacing w:line="240" w:lineRule="exact"/>
        <w:ind/>
        <w:jc w:val="both"/>
      </w:pPr>
    </w:p>
    <w:p w14:paraId="11000000">
      <w:pPr>
        <w:pStyle w:val="Style_4"/>
        <w:widowControl w:val="1"/>
        <w:spacing w:line="240" w:lineRule="exact"/>
        <w:ind w:firstLine="0"/>
      </w:pPr>
      <w:r>
        <w:t>Старший п</w:t>
      </w:r>
      <w:r>
        <w:t xml:space="preserve">омощник </w:t>
      </w:r>
    </w:p>
    <w:p w14:paraId="12000000">
      <w:pPr>
        <w:pStyle w:val="Style_4"/>
        <w:widowControl w:val="1"/>
        <w:spacing w:line="240" w:lineRule="exact"/>
        <w:ind w:firstLine="0"/>
      </w:pPr>
      <w:r>
        <w:t>Туймазинского м</w:t>
      </w:r>
      <w:r>
        <w:t>ежрайонн</w:t>
      </w:r>
      <w:r>
        <w:t>ого</w:t>
      </w:r>
      <w:r>
        <w:t xml:space="preserve"> прокурор</w:t>
      </w:r>
      <w:r>
        <w:t>а</w:t>
      </w:r>
      <w:r>
        <w:tab/>
      </w:r>
      <w:r>
        <w:tab/>
      </w:r>
      <w:r>
        <w:tab/>
      </w:r>
      <w:r>
        <w:tab/>
      </w:r>
      <w:r>
        <w:t>А.Р.Сакаева</w:t>
      </w:r>
    </w:p>
    <w:tbl>
      <w:tblPr>
        <w:tblStyle w:val="Style_5"/>
        <w:tblW w:type="auto" w:w="0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9578"/>
      </w:tblGrid>
      <w:tr>
        <w:trPr>
          <w:trHeight w:hRule="atLeast" w:val="616"/>
        </w:trPr>
        <w:tc>
          <w:tcPr>
            <w:tcW w:type="dxa" w:w="9578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13000000">
            <w:pPr>
              <w:widowControl w:val="1"/>
              <w:spacing w:line="360" w:lineRule="exact"/>
              <w:ind w:left="1163"/>
              <w:rPr>
                <w:color w:themeColor="background1" w:themeShade="BF" w:val="BFBFBF"/>
                <w:sz w:val="24"/>
              </w:rPr>
            </w:pPr>
            <w:bookmarkStart w:id="3" w:name="SIGNERSTAMP1"/>
            <w:bookmarkEnd w:id="3"/>
            <w:r>
              <w:rPr>
                <w:color w:val="FF0000"/>
                <w:sz w:val="24"/>
              </w:rPr>
              <w:t xml:space="preserve">                                              </w:t>
            </w:r>
          </w:p>
        </w:tc>
      </w:tr>
    </w:tbl>
    <w:p w14:paraId="14000000">
      <w:pPr>
        <w:widowControl w:val="1"/>
        <w:tabs>
          <w:tab w:leader="none" w:pos="2268" w:val="left"/>
          <w:tab w:leader="none" w:pos="6804" w:val="left"/>
        </w:tabs>
        <w:ind/>
        <w:rPr>
          <w:sz w:val="20"/>
        </w:rPr>
      </w:pPr>
    </w:p>
    <w:sectPr>
      <w:headerReference r:id="rId3" w:type="default"/>
      <w:headerReference r:id="rId5" w:type="first"/>
      <w:headerReference r:id="rId1" w:type="even"/>
      <w:footerReference r:id="rId4" w:type="default"/>
      <w:footerReference r:id="rId6" w:type="first"/>
      <w:footerReference r:id="rId2" w:type="even"/>
      <w:pgSz w:h="16838" w:orient="portrait" w:w="11906"/>
      <w:pgMar w:bottom="1134" w:footer="709" w:gutter="0" w:header="709" w:left="1701" w:right="567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pStyle w:val="Style_2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3"/>
      <w:tblpPr w:horzAnchor="margin" w:tblpXSpec="right" w:tblpYSpec="outside" w:vertAnchor="page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3643"/>
    </w:tblGrid>
    <w:tr>
      <w:trPr>
        <w:trHeight w:hRule="atLeast" w:val="57"/>
      </w:trPr>
      <w:tc>
        <w:tcPr>
          <w:tcW w:type="dxa" w:w="3643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7000000">
          <w:pPr>
            <w:widowControl w:val="1"/>
            <w:spacing w:after="60"/>
            <w:ind/>
            <w:jc w:val="center"/>
            <w:rPr>
              <w:sz w:val="16"/>
            </w:rPr>
          </w:pPr>
          <w:bookmarkStart w:id="1" w:name="SIGNERORG1"/>
          <w:r>
            <w:rPr>
              <w:sz w:val="16"/>
            </w:rPr>
            <w:t>организация</w:t>
          </w:r>
          <w:bookmarkEnd w:id="1"/>
        </w:p>
        <w:p w14:paraId="08000000">
          <w:pPr>
            <w:widowControl w:val="1"/>
            <w:spacing w:after="60"/>
            <w:ind/>
            <w:rPr>
              <w:sz w:val="16"/>
            </w:rPr>
          </w:pPr>
          <w:r>
            <w:rPr>
              <w:sz w:val="16"/>
            </w:rPr>
            <w:t xml:space="preserve">№ </w:t>
          </w: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9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4000000">
    <w:pPr>
      <w:pStyle w:val="Style_1"/>
    </w:pP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6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1"/>
        <w:spacing w:after="0" w:before="0" w:line="240" w:lineRule="auto"/>
        <w:ind w:firstLine="0" w:left="0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1"/>
      <w:ind/>
      <w:jc w:val="left"/>
    </w:pPr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6"/>
    <w:link w:val="Style_12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" w:type="paragraph">
    <w:name w:val="header"/>
    <w:basedOn w:val="Style_6"/>
    <w:link w:val="Style_1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1_ch" w:type="character">
    <w:name w:val="header"/>
    <w:basedOn w:val="Style_6_ch"/>
    <w:link w:val="Style_1"/>
  </w:style>
  <w:style w:styleId="Style_4" w:type="paragraph">
    <w:name w:val="А)КрСтр"/>
    <w:basedOn w:val="Style_6"/>
    <w:link w:val="Style_4_ch"/>
    <w:pPr>
      <w:widowControl w:val="1"/>
      <w:ind w:firstLine="709"/>
      <w:jc w:val="both"/>
    </w:pPr>
  </w:style>
  <w:style w:styleId="Style_4_ch" w:type="character">
    <w:name w:val="А)КрСтр"/>
    <w:basedOn w:val="Style_6_ch"/>
    <w:link w:val="Style_4"/>
  </w:style>
  <w:style w:styleId="Style_14" w:type="paragraph">
    <w:name w:val="toc 3"/>
    <w:next w:val="Style_6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Г)ПодпТочн"/>
    <w:basedOn w:val="Style_6"/>
    <w:link w:val="Style_15_ch"/>
    <w:pPr>
      <w:widowControl w:val="1"/>
      <w:spacing w:line="240" w:lineRule="exact"/>
      <w:ind/>
      <w:jc w:val="both"/>
    </w:pPr>
  </w:style>
  <w:style w:styleId="Style_15_ch" w:type="character">
    <w:name w:val="Г)ПодпТочн"/>
    <w:basedOn w:val="Style_6_ch"/>
    <w:link w:val="Style_15"/>
  </w:style>
  <w:style w:styleId="Style_2" w:type="paragraph">
    <w:name w:val="footer"/>
    <w:basedOn w:val="Style_6"/>
    <w:link w:val="Style_2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2_ch" w:type="character">
    <w:name w:val="footer"/>
    <w:basedOn w:val="Style_6_ch"/>
    <w:link w:val="Style_2"/>
  </w:style>
  <w:style w:styleId="Style_16" w:type="paragraph">
    <w:name w:val="Balloon Text"/>
    <w:basedOn w:val="Style_6"/>
    <w:link w:val="Style_16_ch"/>
    <w:rPr>
      <w:rFonts w:ascii="Segoe UI" w:hAnsi="Segoe UI"/>
      <w:sz w:val="18"/>
    </w:rPr>
  </w:style>
  <w:style w:styleId="Style_16_ch" w:type="character">
    <w:name w:val="Balloon Text"/>
    <w:basedOn w:val="Style_6_ch"/>
    <w:link w:val="Style_16"/>
    <w:rPr>
      <w:rFonts w:ascii="Segoe UI" w:hAnsi="Segoe UI"/>
      <w:sz w:val="18"/>
    </w:rPr>
  </w:style>
  <w:style w:styleId="Style_17" w:type="paragraph">
    <w:name w:val="heading 5"/>
    <w:next w:val="Style_6"/>
    <w:link w:val="Style_17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7_ch" w:type="character">
    <w:name w:val="heading 5"/>
    <w:link w:val="Style_17"/>
    <w:rPr>
      <w:rFonts w:ascii="XO Thames" w:hAnsi="XO Thames"/>
      <w:b w:val="1"/>
      <w:sz w:val="22"/>
    </w:rPr>
  </w:style>
  <w:style w:styleId="Style_18" w:type="paragraph">
    <w:name w:val="heading 1"/>
    <w:next w:val="Style_6"/>
    <w:link w:val="Style_18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8_ch" w:type="character">
    <w:name w:val="heading 1"/>
    <w:link w:val="Style_18"/>
    <w:rPr>
      <w:rFonts w:ascii="XO Thames" w:hAnsi="XO Thames"/>
      <w:b w:val="1"/>
      <w:sz w:val="32"/>
    </w:rPr>
  </w:style>
  <w:style w:styleId="Style_19" w:type="paragraph">
    <w:name w:val="В)ЦентТочн"/>
    <w:basedOn w:val="Style_6"/>
    <w:link w:val="Style_19_ch"/>
    <w:pPr>
      <w:widowControl w:val="1"/>
      <w:spacing w:line="240" w:lineRule="exact"/>
      <w:ind/>
      <w:jc w:val="center"/>
    </w:pPr>
  </w:style>
  <w:style w:styleId="Style_19_ch" w:type="character">
    <w:name w:val="В)ЦентТочн"/>
    <w:basedOn w:val="Style_6_ch"/>
    <w:link w:val="Style_19"/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6"/>
    <w:link w:val="Style_22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toc 9"/>
    <w:next w:val="Style_6"/>
    <w:link w:val="Style_24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4_ch" w:type="character">
    <w:name w:val="toc 9"/>
    <w:link w:val="Style_24"/>
    <w:rPr>
      <w:rFonts w:ascii="XO Thames" w:hAnsi="XO Thames"/>
      <w:sz w:val="28"/>
    </w:rPr>
  </w:style>
  <w:style w:styleId="Style_25" w:type="paragraph">
    <w:name w:val="Б)ШапТочн"/>
    <w:basedOn w:val="Style_6"/>
    <w:link w:val="Style_25_ch"/>
    <w:pPr>
      <w:widowControl w:val="1"/>
      <w:spacing w:line="240" w:lineRule="exact"/>
      <w:ind w:left="4820"/>
      <w:jc w:val="both"/>
    </w:pPr>
  </w:style>
  <w:style w:styleId="Style_25_ch" w:type="character">
    <w:name w:val="Б)ШапТочн"/>
    <w:basedOn w:val="Style_6_ch"/>
    <w:link w:val="Style_25"/>
  </w:style>
  <w:style w:styleId="Style_26" w:type="paragraph">
    <w:name w:val="toc 8"/>
    <w:next w:val="Style_6"/>
    <w:link w:val="Style_2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toc 5"/>
    <w:next w:val="Style_6"/>
    <w:link w:val="Style_2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Subtitle"/>
    <w:next w:val="Style_6"/>
    <w:link w:val="Style_2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6"/>
    <w:link w:val="Style_2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6"/>
    <w:link w:val="Style_3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6"/>
    <w:link w:val="Style_3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ettings.xml" Type="http://schemas.openxmlformats.org/officeDocument/2006/relationships/settings"/>
  <Relationship Id="rId4" Target="footer4.xml" Type="http://schemas.openxmlformats.org/officeDocument/2006/relationships/footer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2025-12-23T06:57:09Z</dcterms:created>
  <dcterms:modified xsi:type="dcterms:W3CDTF">2025-12-23T06:57:09Z</dcterms:modified>
</cp:coreProperties>
</file>