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 w:firstLine="900"/>
        <w:jc w:val="both"/>
        <w:rPr>
          <w:b w:val="1"/>
          <w:highlight w:val="white"/>
        </w:rPr>
      </w:pPr>
      <w:r>
        <w:rPr>
          <w:b w:val="1"/>
          <w:highlight w:val="white"/>
        </w:rPr>
        <w:t>Совершение преступлений с использованием банковских карт</w:t>
      </w:r>
    </w:p>
    <w:p w14:paraId="02000000">
      <w:pPr>
        <w:widowControl w:val="1"/>
        <w:ind w:firstLine="900"/>
        <w:jc w:val="both"/>
        <w:rPr>
          <w:highlight w:val="white"/>
        </w:rPr>
      </w:pPr>
    </w:p>
    <w:p w14:paraId="03000000">
      <w:pPr>
        <w:widowControl w:val="1"/>
        <w:ind w:firstLine="900"/>
        <w:jc w:val="both"/>
        <w:rPr>
          <w:highlight w:val="white"/>
        </w:rPr>
      </w:pPr>
      <w:r>
        <w:rPr>
          <w:highlight w:val="white"/>
        </w:rPr>
        <w:t xml:space="preserve">Туймазинской межрайонной </w:t>
      </w:r>
      <w:r>
        <w:rPr>
          <w:highlight w:val="white"/>
        </w:rPr>
        <w:t>прокуратурой поддержано</w:t>
      </w:r>
      <w:r>
        <w:rPr>
          <w:highlight w:val="white"/>
        </w:rPr>
        <w:t xml:space="preserve"> государственное обвинение в отношении уроженца и гражданина Республики Грузия</w:t>
      </w:r>
      <w:r>
        <w:rPr>
          <w:highlight w:val="white"/>
        </w:rPr>
        <w:t>.</w:t>
      </w:r>
    </w:p>
    <w:p w14:paraId="04000000">
      <w:pPr>
        <w:widowControl w:val="1"/>
        <w:ind w:firstLine="900"/>
        <w:jc w:val="both"/>
        <w:rPr>
          <w:highlight w:val="white"/>
        </w:rPr>
      </w:pPr>
      <w:r>
        <w:rPr>
          <w:highlight w:val="white"/>
        </w:rPr>
        <w:t xml:space="preserve">Он признан виновным в совершении </w:t>
      </w:r>
      <w:r>
        <w:rPr>
          <w:highlight w:val="white"/>
        </w:rPr>
        <w:t>преступления</w:t>
      </w:r>
      <w:r>
        <w:rPr>
          <w:highlight w:val="white"/>
        </w:rPr>
        <w:t xml:space="preserve">, предусмотренное </w:t>
      </w:r>
      <w:r>
        <w:rPr>
          <w:highlight w:val="white"/>
        </w:rPr>
        <w:t>пунктом</w:t>
      </w:r>
      <w:r>
        <w:rPr>
          <w:highlight w:val="white"/>
        </w:rPr>
        <w:t xml:space="preserve"> «в,г» части 3 статьи 158 УК РФ (кража, то есть тайное хищение чужого имущества, совершенное с банковского счета, в крупном размере).</w:t>
      </w:r>
      <w:r>
        <w:rPr>
          <w:rStyle w:val="Style_1_ch"/>
          <w:highlight w:val="white"/>
        </w:rPr>
        <w:t> </w:t>
      </w:r>
    </w:p>
    <w:p w14:paraId="05000000">
      <w:pPr>
        <w:widowControl w:val="1"/>
        <w:ind w:firstLine="900"/>
        <w:jc w:val="both"/>
      </w:pPr>
      <w:r>
        <w:rPr>
          <w:highlight w:val="white"/>
        </w:rPr>
        <w:t>В суде с учетом доказательств, представленных</w:t>
      </w:r>
      <w:r>
        <w:rPr>
          <w:rStyle w:val="Style_1_ch"/>
          <w:highlight w:val="white"/>
        </w:rPr>
        <w:t xml:space="preserve"> </w:t>
      </w:r>
      <w:r>
        <w:rPr>
          <w:rStyle w:val="Style_1_ch"/>
          <w:highlight w:val="white"/>
        </w:rPr>
        <w:t xml:space="preserve">государственным </w:t>
      </w:r>
      <w:r>
        <w:rPr>
          <w:rStyle w:val="Style_2_ch"/>
          <w:color w:val="000000"/>
          <w:highlight w:val="white"/>
          <w:u w:val="none"/>
        </w:rPr>
        <w:fldChar w:fldCharType="begin"/>
      </w:r>
      <w:r>
        <w:rPr>
          <w:rStyle w:val="Style_2_ch"/>
          <w:color w:val="000000"/>
          <w:highlight w:val="white"/>
          <w:u w:val="none"/>
        </w:rPr>
        <w:instrText>HYPERLINK "https://tula.bezformata.com/word/obvinitel/17306/" \o "обвинителем"</w:instrText>
      </w:r>
      <w:r>
        <w:rPr>
          <w:rStyle w:val="Style_2_ch"/>
          <w:color w:val="000000"/>
          <w:highlight w:val="white"/>
          <w:u w:val="none"/>
        </w:rPr>
        <w:fldChar w:fldCharType="separate"/>
      </w:r>
      <w:r>
        <w:rPr>
          <w:rStyle w:val="Style_2_ch"/>
          <w:color w:val="000000"/>
          <w:highlight w:val="white"/>
          <w:u w:val="none"/>
        </w:rPr>
        <w:t>обвинителем</w:t>
      </w:r>
      <w:r>
        <w:rPr>
          <w:rStyle w:val="Style_2_ch"/>
          <w:color w:val="000000"/>
          <w:highlight w:val="white"/>
          <w:u w:val="none"/>
        </w:rPr>
        <w:fldChar w:fldCharType="end"/>
      </w:r>
      <w:r>
        <w:rPr>
          <w:highlight w:val="white"/>
        </w:rPr>
        <w:t>, установ</w:t>
      </w:r>
      <w:r>
        <w:rPr>
          <w:highlight w:val="white"/>
        </w:rPr>
        <w:t>лено</w:t>
      </w:r>
      <w:r>
        <w:rPr>
          <w:highlight w:val="white"/>
        </w:rPr>
        <w:t xml:space="preserve">, что </w:t>
      </w:r>
      <w:r>
        <w:rPr>
          <w:highlight w:val="white"/>
        </w:rPr>
        <w:t xml:space="preserve">в период времени с </w:t>
      </w:r>
      <w:r>
        <w:rPr>
          <w:highlight w:val="white"/>
        </w:rPr>
        <w:t>17</w:t>
      </w:r>
      <w:r>
        <w:rPr>
          <w:highlight w:val="white"/>
        </w:rPr>
        <w:t>.06</w:t>
      </w:r>
      <w:r>
        <w:rPr>
          <w:highlight w:val="white"/>
        </w:rPr>
        <w:t>.2025</w:t>
      </w:r>
      <w:r>
        <w:rPr>
          <w:highlight w:val="white"/>
        </w:rPr>
        <w:t xml:space="preserve"> до</w:t>
      </w:r>
      <w:r>
        <w:rPr>
          <w:highlight w:val="white"/>
        </w:rPr>
        <w:t xml:space="preserve"> 18</w:t>
      </w:r>
      <w:r>
        <w:rPr>
          <w:highlight w:val="white"/>
        </w:rPr>
        <w:t>.06</w:t>
      </w:r>
      <w:r>
        <w:rPr>
          <w:highlight w:val="white"/>
        </w:rPr>
        <w:t>.2025</w:t>
      </w:r>
      <w:r>
        <w:rPr>
          <w:highlight w:val="white"/>
        </w:rPr>
        <w:t xml:space="preserve">                    </w:t>
      </w:r>
      <w:r>
        <w:rPr>
          <w:highlight w:val="white"/>
        </w:rPr>
        <w:t xml:space="preserve"> </w:t>
      </w:r>
      <w:r>
        <w:rPr>
          <w:highlight w:val="white"/>
        </w:rPr>
        <w:t>злоумышленник,</w:t>
      </w:r>
      <w:r>
        <w:rPr>
          <w:highlight w:val="white"/>
        </w:rPr>
        <w:t xml:space="preserve"> находясь в гостях у потерпевшего, где совместно распивали спиртные напитки, пользуясь тем, что потерпевший уснул, забрал его телефон и используя банковское приложение, трижды перевел н</w:t>
      </w:r>
      <w:r>
        <w:rPr>
          <w:highlight w:val="white"/>
        </w:rPr>
        <w:t>а свой банковский счет</w:t>
      </w:r>
      <w:r>
        <w:rPr>
          <w:highlight w:val="white"/>
        </w:rPr>
        <w:t xml:space="preserve"> денежные средства по 100 тыс. руб., всего 300 тыс. рублей.</w:t>
      </w:r>
    </w:p>
    <w:p w14:paraId="06000000">
      <w:pPr>
        <w:widowControl w:val="1"/>
        <w:spacing w:afterAutospacing="on"/>
        <w:ind w:firstLine="709"/>
        <w:contextualSpacing w:val="1"/>
        <w:jc w:val="both"/>
        <w:rPr>
          <w:color w:val="333333"/>
        </w:rPr>
      </w:pPr>
      <w:r>
        <w:rPr>
          <w:color w:val="333333"/>
        </w:rPr>
        <w:t>Суд с учётом позиции государственного обвинителя назначил мужчин</w:t>
      </w:r>
      <w:r>
        <w:rPr>
          <w:color w:val="333333"/>
        </w:rPr>
        <w:t>е</w:t>
      </w:r>
      <w:r>
        <w:rPr>
          <w:color w:val="333333"/>
        </w:rPr>
        <w:t xml:space="preserve"> наказание в виде штрафа в размер 100 тыс. рублей в доход государства.</w:t>
      </w:r>
    </w:p>
    <w:p w14:paraId="07000000">
      <w:pPr>
        <w:widowControl w:val="1"/>
        <w:spacing w:afterAutospacing="on"/>
        <w:ind/>
        <w:contextualSpacing w:val="1"/>
        <w:jc w:val="both"/>
        <w:rPr>
          <w:rFonts w:ascii="Roboto" w:hAnsi="Roboto"/>
          <w:color w:val="333333"/>
          <w:sz w:val="24"/>
        </w:rPr>
      </w:pPr>
    </w:p>
    <w:p w14:paraId="08000000">
      <w:pPr>
        <w:widowControl w:val="1"/>
        <w:spacing w:afterAutospacing="on"/>
        <w:ind/>
        <w:contextualSpacing w:val="1"/>
        <w:jc w:val="both"/>
        <w:rPr>
          <w:rFonts w:ascii="Roboto" w:hAnsi="Roboto"/>
          <w:color w:val="333333"/>
          <w:sz w:val="24"/>
        </w:rPr>
      </w:pPr>
    </w:p>
    <w:p w14:paraId="09000000">
      <w:pPr>
        <w:widowControl w:val="1"/>
        <w:spacing w:afterAutospacing="on"/>
        <w:ind/>
        <w:contextualSpacing w:val="1"/>
        <w:jc w:val="both"/>
      </w:pPr>
      <w:r>
        <w:rPr>
          <w:highlight w:val="white"/>
        </w:rPr>
        <w:t>Старший п</w:t>
      </w:r>
      <w:r>
        <w:rPr>
          <w:highlight w:val="white"/>
        </w:rPr>
        <w:t>о</w:t>
      </w:r>
      <w:r>
        <w:rPr>
          <w:highlight w:val="white"/>
        </w:rPr>
        <w:t>мощник межрайонного прокурора</w:t>
      </w:r>
      <w:r>
        <w:rPr>
          <w:highlight w:val="white"/>
        </w:rPr>
        <w:tab/>
      </w:r>
      <w:r>
        <w:rPr>
          <w:highlight w:val="white"/>
        </w:rPr>
        <w:tab/>
      </w:r>
      <w:r>
        <w:rPr>
          <w:highlight w:val="white"/>
        </w:rPr>
        <w:tab/>
      </w:r>
      <w:r>
        <w:rPr>
          <w:highlight w:val="white"/>
        </w:rPr>
        <w:t>А.Р. Сакаева</w:t>
      </w:r>
    </w:p>
    <w:sectPr>
      <w:pgSz w:h="16838" w:orient="portrait" w:w="11906"/>
      <w:pgMar w:bottom="1134" w:footer="709" w:gutter="0" w:header="709" w:left="1418" w:right="567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rPr>
      <w:sz w:val="28"/>
    </w:rPr>
  </w:style>
  <w:style w:default="1" w:styleId="Style_3_ch" w:type="character">
    <w:name w:val="Normal"/>
    <w:link w:val="Style_3"/>
    <w:rPr>
      <w:sz w:val="28"/>
    </w:rPr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Default Paragraph Font"/>
    <w:link w:val="Style_5_ch"/>
  </w:style>
  <w:style w:styleId="Style_5_ch" w:type="character">
    <w:name w:val="Default Paragraph Font"/>
    <w:link w:val="Style_5"/>
  </w:style>
  <w:style w:styleId="Style_6" w:type="paragraph">
    <w:name w:val="toc 4"/>
    <w:next w:val="Style_3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Normal (Web)"/>
    <w:basedOn w:val="Style_3"/>
    <w:link w:val="Style_7_ch"/>
    <w:pPr>
      <w:widowControl w:val="1"/>
      <w:spacing w:afterAutospacing="on" w:beforeAutospacing="on"/>
      <w:ind/>
    </w:pPr>
    <w:rPr>
      <w:sz w:val="24"/>
    </w:rPr>
  </w:style>
  <w:style w:styleId="Style_7_ch" w:type="character">
    <w:name w:val="Normal (Web)"/>
    <w:basedOn w:val="Style_3_ch"/>
    <w:link w:val="Style_7"/>
    <w:rPr>
      <w:sz w:val="24"/>
    </w:rPr>
  </w:style>
  <w:style w:styleId="Style_8" w:type="paragraph">
    <w:name w:val="toc 6"/>
    <w:next w:val="Style_3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3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3"/>
    <w:link w:val="Style_11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feeds-page__navigation_tooltip"/>
    <w:basedOn w:val="Style_5"/>
    <w:link w:val="Style_12_ch"/>
  </w:style>
  <w:style w:styleId="Style_12_ch" w:type="character">
    <w:name w:val="feeds-page__navigation_tooltip"/>
    <w:basedOn w:val="Style_5_ch"/>
    <w:link w:val="Style_12"/>
  </w:style>
  <w:style w:styleId="Style_13" w:type="paragraph">
    <w:name w:val="toc 3"/>
    <w:next w:val="Style_3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3"/>
    <w:link w:val="Style_1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3"/>
    <w:link w:val="Style_15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" w:type="paragraph">
    <w:name w:val="apple-converted-space"/>
    <w:basedOn w:val="Style_5"/>
    <w:link w:val="Style_1_ch"/>
  </w:style>
  <w:style w:styleId="Style_1_ch" w:type="character">
    <w:name w:val="apple-converted-space"/>
    <w:basedOn w:val="Style_5_ch"/>
    <w:link w:val="Style_1"/>
  </w:style>
  <w:style w:styleId="Style_2" w:type="paragraph">
    <w:name w:val="Hyperlink"/>
    <w:link w:val="Style_2_ch"/>
    <w:rPr>
      <w:color w:val="0000FF"/>
      <w:u w:val="single"/>
    </w:rPr>
  </w:style>
  <w:style w:styleId="Style_2_ch" w:type="character">
    <w:name w:val="Hyperlink"/>
    <w:link w:val="Style_2"/>
    <w:rPr>
      <w:color w:val="0000FF"/>
      <w:u w:val="single"/>
    </w:rPr>
  </w:style>
  <w:style w:styleId="Style_16" w:type="paragraph">
    <w:name w:val="Foot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feeds-page__navigation_icon"/>
    <w:basedOn w:val="Style_5"/>
    <w:link w:val="Style_17_ch"/>
  </w:style>
  <w:style w:styleId="Style_17_ch" w:type="character">
    <w:name w:val="feeds-page__navigation_icon"/>
    <w:basedOn w:val="Style_5_ch"/>
    <w:link w:val="Style_17"/>
  </w:style>
  <w:style w:styleId="Style_18" w:type="paragraph">
    <w:name w:val="toc 1"/>
    <w:next w:val="Style_3"/>
    <w:link w:val="Style_18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20" w:type="paragraph">
    <w:name w:val="toc 9"/>
    <w:next w:val="Style_3"/>
    <w:link w:val="Style_2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3"/>
    <w:link w:val="Style_21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3"/>
    <w:link w:val="Style_22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Balloon Text"/>
    <w:basedOn w:val="Style_3"/>
    <w:link w:val="Style_23_ch"/>
    <w:rPr>
      <w:rFonts w:ascii="Tahoma" w:hAnsi="Tahoma"/>
      <w:sz w:val="16"/>
    </w:rPr>
  </w:style>
  <w:style w:styleId="Style_23_ch" w:type="character">
    <w:name w:val="Balloon Text"/>
    <w:basedOn w:val="Style_3_ch"/>
    <w:link w:val="Style_23"/>
    <w:rPr>
      <w:rFonts w:ascii="Tahoma" w:hAnsi="Tahoma"/>
      <w:sz w:val="16"/>
    </w:rPr>
  </w:style>
  <w:style w:styleId="Style_24" w:type="paragraph">
    <w:name w:val="Subtitle"/>
    <w:next w:val="Style_3"/>
    <w:link w:val="Style_24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3"/>
    <w:link w:val="Style_25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3"/>
    <w:link w:val="Style_27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2025-12-23T06:23:21Z</dcterms:created>
  <dcterms:modified xsi:type="dcterms:W3CDTF">2025-12-23T06:23:21Z</dcterms:modified>
</cp:coreProperties>
</file>