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A000000">
      <w:pPr>
        <w:widowControl w:val="1"/>
        <w:ind w:firstLine="708"/>
        <w:jc w:val="both"/>
      </w:pPr>
      <w:r>
        <w:t>Туймазинск</w:t>
      </w:r>
      <w:r>
        <w:t>ий</w:t>
      </w:r>
      <w:r>
        <w:t xml:space="preserve"> межрайонн</w:t>
      </w:r>
      <w:r>
        <w:t>ый</w:t>
      </w:r>
      <w:r>
        <w:t xml:space="preserve"> </w:t>
      </w:r>
      <w:r>
        <w:t>суд вынес приговор в отношении</w:t>
      </w:r>
      <w:r>
        <w:t xml:space="preserve"> ранее судимого</w:t>
      </w:r>
      <w:r>
        <w:t xml:space="preserve"> жителя </w:t>
      </w:r>
      <w:r>
        <w:t xml:space="preserve">г. </w:t>
      </w:r>
      <w:r>
        <w:t>Туймаз</w:t>
      </w:r>
      <w:r>
        <w:t>ы</w:t>
      </w:r>
      <w:r>
        <w:t>.</w:t>
      </w:r>
    </w:p>
    <w:p w14:paraId="0B000000">
      <w:pPr>
        <w:widowControl w:val="1"/>
        <w:ind w:firstLine="708"/>
        <w:jc w:val="both"/>
      </w:pPr>
    </w:p>
    <w:p w14:paraId="0C000000">
      <w:pPr>
        <w:widowControl w:val="1"/>
        <w:ind w:firstLine="708"/>
        <w:jc w:val="both"/>
      </w:pPr>
      <w:r>
        <w:t xml:space="preserve">Он признан виновным по </w:t>
      </w:r>
      <w:r>
        <w:t>ч. 1 с</w:t>
      </w:r>
      <w:r>
        <w:t>т.</w:t>
      </w:r>
      <w:r>
        <w:t xml:space="preserve"> </w:t>
      </w:r>
      <w:r>
        <w:t>1</w:t>
      </w:r>
      <w:r>
        <w:t>59</w:t>
      </w:r>
      <w:r>
        <w:t xml:space="preserve"> УК РФ (</w:t>
      </w:r>
      <w:r>
        <w:t>мошенничество, то есть хищение чужого имущества, путем обмана</w:t>
      </w:r>
      <w:r>
        <w:t>)</w:t>
      </w:r>
      <w:r>
        <w:t xml:space="preserve"> – 3 преступления</w:t>
      </w:r>
      <w:r>
        <w:t>.</w:t>
      </w:r>
    </w:p>
    <w:p w14:paraId="0D000000">
      <w:pPr>
        <w:widowControl w:val="1"/>
        <w:tabs>
          <w:tab w:leader="none" w:pos="4395" w:val="left"/>
        </w:tabs>
        <w:ind w:firstLine="708"/>
        <w:jc w:val="both"/>
      </w:pPr>
      <w:r>
        <w:t>В суде установлено, что</w:t>
      </w:r>
      <w:r>
        <w:t xml:space="preserve"> подсудимый в течении 2024 года совершил 3 преступления с использованием информационных технологий, используя мобильный телефон, создал аккаунт в социальной сети «Вконтакте», придавая своим противоправным действиям законный характер осуществления деятельности, изначально не имея намерений исполнить свои обязательства, действуя под предлогом реализации автомобильных запчастей, в группе вышеуказанной социальной сети откликнулся на объявление о покупке запасных частей на автомобиль, которое разместил один из потерпевших.</w:t>
      </w:r>
    </w:p>
    <w:p w14:paraId="0E000000">
      <w:pPr>
        <w:widowControl w:val="1"/>
        <w:tabs>
          <w:tab w:leader="none" w:pos="4395" w:val="left"/>
        </w:tabs>
        <w:ind w:firstLine="708"/>
        <w:jc w:val="both"/>
      </w:pPr>
      <w:r>
        <w:t>Далее, находясь с потерпевшим в переписке, убедил последнего перевести денежные средства в сумме 4700 рублей на банковскую карту его знакомого, при этом автомобильную запасную часть не передал и в дальнейшем удалил аккаунт.</w:t>
      </w:r>
    </w:p>
    <w:p w14:paraId="0F000000">
      <w:pPr>
        <w:widowControl w:val="1"/>
        <w:tabs>
          <w:tab w:leader="none" w:pos="4395" w:val="left"/>
        </w:tabs>
        <w:ind w:firstLine="708"/>
        <w:jc w:val="both"/>
      </w:pPr>
      <w:r>
        <w:t>По аналогичной схеме преступник продолжил совершать преступления. Общая сумма причиненного ущерба потерпевшим составило 20 800 руб.</w:t>
      </w:r>
    </w:p>
    <w:p w14:paraId="10000000">
      <w:pPr>
        <w:widowControl w:val="1"/>
        <w:tabs>
          <w:tab w:leader="none" w:pos="4395" w:val="left"/>
        </w:tabs>
        <w:ind w:firstLine="708"/>
        <w:jc w:val="both"/>
      </w:pPr>
      <w:r>
        <w:t>Подсудимый признал вину в совершении преступлени</w:t>
      </w:r>
      <w:r>
        <w:t>й</w:t>
      </w:r>
      <w:r>
        <w:t>.</w:t>
      </w:r>
    </w:p>
    <w:p w14:paraId="11000000">
      <w:pPr>
        <w:widowControl w:val="1"/>
        <w:tabs>
          <w:tab w:leader="none" w:pos="4395" w:val="left"/>
        </w:tabs>
        <w:ind w:firstLine="708"/>
        <w:jc w:val="both"/>
      </w:pPr>
      <w:r>
        <w:t xml:space="preserve">Суд назначил ему наказание </w:t>
      </w:r>
      <w:r>
        <w:t xml:space="preserve">по совокупности преступлений </w:t>
      </w:r>
      <w:r>
        <w:t>в виде 1 года 5 месяцев</w:t>
      </w:r>
      <w:r>
        <w:t xml:space="preserve"> л</w:t>
      </w:r>
      <w:r>
        <w:t>ишения свободы</w:t>
      </w:r>
      <w:r>
        <w:t xml:space="preserve"> с отбыванием наказания в колонии </w:t>
      </w:r>
      <w:bookmarkStart w:id="3" w:name="_GoBack"/>
      <w:bookmarkEnd w:id="3"/>
      <w:r>
        <w:t>поселении.</w:t>
      </w:r>
    </w:p>
    <w:p w14:paraId="12000000">
      <w:pPr>
        <w:widowControl w:val="1"/>
        <w:spacing w:line="240" w:lineRule="exact"/>
        <w:ind/>
        <w:jc w:val="both"/>
      </w:pPr>
    </w:p>
    <w:p w14:paraId="13000000">
      <w:pPr>
        <w:widowControl w:val="1"/>
        <w:spacing w:line="240" w:lineRule="exact"/>
        <w:ind/>
        <w:jc w:val="both"/>
      </w:pPr>
    </w:p>
    <w:p w14:paraId="14000000">
      <w:pPr>
        <w:pStyle w:val="Style_4"/>
        <w:widowControl w:val="1"/>
        <w:spacing w:line="240" w:lineRule="exact"/>
        <w:ind w:firstLine="0"/>
      </w:pPr>
      <w:r>
        <w:t>Старший п</w:t>
      </w:r>
      <w:r>
        <w:t xml:space="preserve">омощник </w:t>
      </w:r>
    </w:p>
    <w:p w14:paraId="15000000">
      <w:pPr>
        <w:pStyle w:val="Style_4"/>
        <w:widowControl w:val="1"/>
        <w:spacing w:line="240" w:lineRule="exact"/>
        <w:ind w:firstLine="0"/>
      </w:pPr>
      <w:r>
        <w:t>Туймазинского</w:t>
      </w:r>
      <w:r>
        <w:t xml:space="preserve"> м</w:t>
      </w:r>
      <w:r>
        <w:t>ежрайонн</w:t>
      </w:r>
      <w:r>
        <w:t>ого</w:t>
      </w:r>
      <w:r>
        <w:t xml:space="preserve"> прокурор</w:t>
      </w:r>
      <w:r>
        <w:t>а</w:t>
      </w:r>
      <w:r>
        <w:tab/>
      </w:r>
      <w:r>
        <w:tab/>
      </w:r>
      <w:r>
        <w:tab/>
      </w:r>
      <w:r>
        <w:tab/>
      </w:r>
      <w:r>
        <w:t>Альбина Сакаева</w:t>
      </w:r>
    </w:p>
    <w:p w14:paraId="16000000">
      <w:pPr>
        <w:widowControl w:val="1"/>
        <w:spacing w:line="240" w:lineRule="exact"/>
        <w:ind/>
      </w:pPr>
    </w:p>
    <w:sectPr>
      <w:headerReference r:id="rId1" w:type="default"/>
      <w:headerReference r:id="rId3" w:type="first"/>
      <w:headerReference r:id="rId5" w:type="even"/>
      <w:footerReference r:id="rId2" w:type="default"/>
      <w:footerReference r:id="rId4" w:type="first"/>
      <w:footerReference r:id="rId6" w:type="even"/>
      <w:pgSz w:h="16838" w:orient="portrait" w:w="11906"/>
      <w:pgMar w:bottom="1134" w:footer="709" w:gutter="0" w:header="709" w:left="1701" w:right="567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3"/>
      <w:tblpPr w:horzAnchor="margin" w:tblpXSpec="right" w:tblpYSpec="outside" w:vertAnchor="page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3643"/>
    </w:tblGrid>
    <w:tr>
      <w:trPr>
        <w:trHeight w:hRule="atLeast" w:val="57"/>
      </w:trPr>
      <w:tc>
        <w:tcPr>
          <w:tcW w:type="dxa" w:w="3643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5000000">
          <w:pPr>
            <w:widowControl w:val="1"/>
            <w:spacing w:after="60"/>
            <w:ind/>
            <w:jc w:val="center"/>
            <w:rPr>
              <w:sz w:val="16"/>
            </w:rPr>
          </w:pPr>
          <w:bookmarkStart w:id="1" w:name="SIGNERORG1"/>
          <w:r>
            <w:rPr>
              <w:sz w:val="16"/>
            </w:rPr>
            <w:t>организация</w:t>
          </w:r>
          <w:bookmarkEnd w:id="1"/>
        </w:p>
        <w:p w14:paraId="06000000">
          <w:pPr>
            <w:widowControl w:val="1"/>
            <w:spacing w:after="60"/>
            <w:ind/>
            <w:rPr>
              <w:sz w:val="16"/>
            </w:rPr>
          </w:pPr>
          <w:r>
            <w:rPr>
              <w:sz w:val="16"/>
            </w:rPr>
            <w:t xml:space="preserve">№ </w:t>
          </w: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7000000">
    <w:pPr>
      <w:pStyle w:val="Style_2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</w:pP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8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1"/>
        <w:spacing w:after="0" w:before="0" w:line="240" w:lineRule="auto"/>
        <w:ind w:firstLine="0" w:left="0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1"/>
      <w:ind/>
      <w:jc w:val="left"/>
    </w:pPr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" w:type="paragraph">
    <w:name w:val="header"/>
    <w:basedOn w:val="Style_5"/>
    <w:link w:val="Style_1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1_ch" w:type="character">
    <w:name w:val="header"/>
    <w:basedOn w:val="Style_5_ch"/>
    <w:link w:val="Style_1"/>
  </w:style>
  <w:style w:styleId="Style_12" w:type="paragraph">
    <w:name w:val="toc 3"/>
    <w:next w:val="Style_5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Balloon Text"/>
    <w:basedOn w:val="Style_5"/>
    <w:link w:val="Style_13_ch"/>
    <w:rPr>
      <w:rFonts w:ascii="Segoe UI" w:hAnsi="Segoe UI"/>
      <w:sz w:val="18"/>
    </w:rPr>
  </w:style>
  <w:style w:styleId="Style_13_ch" w:type="character">
    <w:name w:val="Balloon Text"/>
    <w:basedOn w:val="Style_5_ch"/>
    <w:link w:val="Style_13"/>
    <w:rPr>
      <w:rFonts w:ascii="Segoe UI" w:hAnsi="Segoe UI"/>
      <w:sz w:val="18"/>
    </w:rPr>
  </w:style>
  <w:style w:styleId="Style_14" w:type="paragraph">
    <w:name w:val="heading 5"/>
    <w:next w:val="Style_5"/>
    <w:link w:val="Style_14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Б)ШапТочн"/>
    <w:basedOn w:val="Style_5"/>
    <w:link w:val="Style_15_ch"/>
    <w:pPr>
      <w:widowControl w:val="1"/>
      <w:spacing w:line="240" w:lineRule="exact"/>
      <w:ind w:left="4820"/>
      <w:jc w:val="both"/>
    </w:pPr>
  </w:style>
  <w:style w:styleId="Style_15_ch" w:type="character">
    <w:name w:val="Б)ШапТочн"/>
    <w:basedOn w:val="Style_5_ch"/>
    <w:link w:val="Style_15"/>
  </w:style>
  <w:style w:styleId="Style_16" w:type="paragraph">
    <w:name w:val="heading 1"/>
    <w:next w:val="Style_5"/>
    <w:link w:val="Style_16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В)ЦентТочн"/>
    <w:basedOn w:val="Style_5"/>
    <w:link w:val="Style_17_ch"/>
    <w:pPr>
      <w:widowControl w:val="1"/>
      <w:spacing w:line="240" w:lineRule="exact"/>
      <w:ind/>
      <w:jc w:val="center"/>
    </w:pPr>
  </w:style>
  <w:style w:styleId="Style_17_ch" w:type="character">
    <w:name w:val="В)ЦентТочн"/>
    <w:basedOn w:val="Style_5_ch"/>
    <w:link w:val="Style_17"/>
  </w:style>
  <w:style w:styleId="Style_4" w:type="paragraph">
    <w:name w:val="А)КрСтр"/>
    <w:basedOn w:val="Style_5"/>
    <w:link w:val="Style_4_ch"/>
    <w:pPr>
      <w:widowControl w:val="1"/>
      <w:ind w:firstLine="709"/>
      <w:jc w:val="both"/>
    </w:pPr>
  </w:style>
  <w:style w:styleId="Style_4_ch" w:type="character">
    <w:name w:val="А)КрСтр"/>
    <w:basedOn w:val="Style_5_ch"/>
    <w:link w:val="Style_4"/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1"/>
    <w:next w:val="Style_5"/>
    <w:link w:val="Style_21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Г)ПодпТочн"/>
    <w:basedOn w:val="Style_5"/>
    <w:link w:val="Style_22_ch"/>
    <w:pPr>
      <w:widowControl w:val="1"/>
      <w:spacing w:line="240" w:lineRule="exact"/>
      <w:ind/>
      <w:jc w:val="both"/>
    </w:pPr>
  </w:style>
  <w:style w:styleId="Style_22_ch" w:type="character">
    <w:name w:val="Г)ПодпТочн"/>
    <w:basedOn w:val="Style_5_ch"/>
    <w:link w:val="Style_22"/>
  </w:style>
  <w:style w:styleId="Style_23" w:type="paragraph">
    <w:name w:val="Header and Footer"/>
    <w:link w:val="Style_23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toc 9"/>
    <w:next w:val="Style_5"/>
    <w:link w:val="Style_24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5"/>
    <w:link w:val="Style_25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toc 5"/>
    <w:next w:val="Style_5"/>
    <w:link w:val="Style_26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next w:val="Style_5"/>
    <w:link w:val="Style_27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28" w:type="paragraph">
    <w:name w:val="Title"/>
    <w:next w:val="Style_5"/>
    <w:link w:val="Style_28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next w:val="Style_5"/>
    <w:link w:val="Style_29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2" w:type="paragraph">
    <w:name w:val="footer"/>
    <w:basedOn w:val="Style_5"/>
    <w:link w:val="Style_2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2_ch" w:type="character">
    <w:name w:val="footer"/>
    <w:basedOn w:val="Style_5_ch"/>
    <w:link w:val="Style_2"/>
  </w:style>
  <w:style w:styleId="Style_30" w:type="paragraph">
    <w:name w:val="heading 2"/>
    <w:next w:val="Style_5"/>
    <w:link w:val="Style_30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0_ch" w:type="character">
    <w:name w:val="heading 2"/>
    <w:link w:val="Style_30"/>
    <w:rPr>
      <w:rFonts w:ascii="XO Thames" w:hAnsi="XO Thames"/>
      <w:b w:val="1"/>
      <w:sz w:val="28"/>
    </w:rPr>
  </w:style>
  <w:style w:styleId="Style_31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ettings.xml" Type="http://schemas.openxmlformats.org/officeDocument/2006/relationships/settings"/>
  <Relationship Id="rId4" Target="footer4.xml" Type="http://schemas.openxmlformats.org/officeDocument/2006/relationships/footer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2025-12-23T09:51:55Z</dcterms:created>
  <dcterms:modified xsi:type="dcterms:W3CDTF">2025-12-23T09:51:55Z</dcterms:modified>
</cp:coreProperties>
</file>