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pStyle w:val="Style_4"/>
        <w:widowControl w:val="0"/>
        <w:ind w:firstLine="0" w:left="0"/>
        <w:rPr>
          <w:b w:val="1"/>
        </w:rPr>
      </w:pPr>
    </w:p>
    <w:p w14:paraId="0B000000">
      <w:pPr>
        <w:widowControl w:val="0"/>
        <w:ind w:firstLine="709" w:left="0"/>
        <w:jc w:val="both"/>
      </w:pPr>
      <w:r>
        <w:t>Туймазинск</w:t>
      </w:r>
      <w:r>
        <w:t>ая</w:t>
      </w:r>
      <w:r>
        <w:t xml:space="preserve"> межрайонн</w:t>
      </w:r>
      <w:r>
        <w:t>ая</w:t>
      </w:r>
      <w:r>
        <w:t xml:space="preserve"> </w:t>
      </w:r>
      <w:r>
        <w:t xml:space="preserve">прокуратура </w:t>
      </w:r>
      <w:r>
        <w:t xml:space="preserve">в судебном порядке </w:t>
      </w:r>
      <w:r>
        <w:t>обязала администрацию городского поселения города Туймазы муниципального района Туймазинский район обеспечить снос (демонтаж) аварийных многоквартирных домов, расположенных на территории</w:t>
      </w:r>
      <w:r>
        <w:t xml:space="preserve"> городского поселения</w:t>
      </w:r>
      <w:r>
        <w:t>.</w:t>
      </w:r>
    </w:p>
    <w:p w14:paraId="0C000000">
      <w:pPr>
        <w:widowControl w:val="0"/>
        <w:ind w:firstLine="709" w:left="0"/>
        <w:jc w:val="both"/>
        <w:rPr>
          <w:color w:val="000000"/>
        </w:rPr>
      </w:pPr>
      <w:r>
        <w:t xml:space="preserve">В ходе проверки надзорным органом установлено, что </w:t>
      </w:r>
      <w:r>
        <w:t xml:space="preserve">на территории городского поселения </w:t>
      </w:r>
      <w:r>
        <w:rPr>
          <w:color w:val="000000"/>
        </w:rPr>
        <w:t>размещено 14 аварийных домов.</w:t>
      </w:r>
    </w:p>
    <w:p w14:paraId="0D000000">
      <w:pPr>
        <w:widowControl w:val="0"/>
        <w:ind w:firstLine="709" w:left="0"/>
        <w:jc w:val="both"/>
      </w:pPr>
      <w:r>
        <w:t>М</w:t>
      </w:r>
      <w:r>
        <w:t>ежрайонный прокурор дважды обратилс</w:t>
      </w:r>
      <w:r>
        <w:t>я</w:t>
      </w:r>
      <w:r>
        <w:t xml:space="preserve"> в суд с исковыми заявлениям о</w:t>
      </w:r>
      <w:r>
        <w:t>б</w:t>
      </w:r>
      <w:r>
        <w:t xml:space="preserve"> </w:t>
      </w:r>
      <w:r>
        <w:t>обяз</w:t>
      </w:r>
      <w:r>
        <w:t>ании</w:t>
      </w:r>
      <w:r>
        <w:t xml:space="preserve"> администраци</w:t>
      </w:r>
      <w:r>
        <w:t>и</w:t>
      </w:r>
      <w:r>
        <w:t xml:space="preserve"> городского поселения города Туймазы муниципального района Туймазинский район </w:t>
      </w:r>
      <w:r>
        <w:t>обеспечить снос (демонтаж) аварийных многоквартирных домов, расположенных на территории</w:t>
      </w:r>
      <w:r>
        <w:t xml:space="preserve"> городского поселения.</w:t>
      </w:r>
    </w:p>
    <w:p w14:paraId="0E000000">
      <w:pPr>
        <w:widowControl w:val="0"/>
        <w:ind w:firstLine="709" w:left="0"/>
        <w:jc w:val="both"/>
      </w:pPr>
      <w:r>
        <w:t xml:space="preserve">В этой связи, в 2025 году на территории города </w:t>
      </w:r>
      <w:r>
        <w:t xml:space="preserve"> городского поселения города Туймазы муниципального района Туймазинский район</w:t>
      </w:r>
      <w:r>
        <w:t xml:space="preserve"> снесено </w:t>
      </w:r>
      <w:r>
        <w:br/>
      </w:r>
      <w:r>
        <w:t xml:space="preserve">14 аварийных домов, </w:t>
      </w:r>
      <w:r>
        <w:t xml:space="preserve">решения суда исполнены в полном объеме. </w:t>
      </w:r>
    </w:p>
    <w:p w14:paraId="0F000000">
      <w:pPr>
        <w:widowControl w:val="0"/>
        <w:spacing w:line="240" w:lineRule="exact"/>
        <w:ind/>
        <w:jc w:val="both"/>
      </w:pPr>
    </w:p>
    <w:p w14:paraId="10000000">
      <w:pPr>
        <w:widowControl w:val="0"/>
        <w:spacing w:line="240" w:lineRule="exact"/>
        <w:ind/>
        <w:jc w:val="both"/>
      </w:pPr>
    </w:p>
    <w:p w14:paraId="11000000">
      <w:pPr>
        <w:pStyle w:val="Style_4"/>
        <w:widowControl w:val="0"/>
        <w:spacing w:line="240" w:lineRule="exact"/>
        <w:ind w:firstLine="0" w:left="0"/>
      </w:pPr>
      <w:r>
        <w:t>М</w:t>
      </w:r>
      <w:r>
        <w:t>ежрайонн</w:t>
      </w:r>
      <w:r>
        <w:t>ый</w:t>
      </w:r>
      <w:r>
        <w:t xml:space="preserve"> прокурор</w:t>
      </w:r>
      <w:r>
        <w:tab/>
      </w:r>
      <w:r>
        <w:tab/>
      </w:r>
      <w:r>
        <w:tab/>
      </w:r>
      <w:r>
        <w:tab/>
      </w:r>
      <w:r>
        <w:tab/>
      </w:r>
      <w:r>
        <w:t xml:space="preserve">  </w:t>
      </w:r>
      <w:r>
        <w:t xml:space="preserve">             </w:t>
      </w:r>
      <w:r>
        <w:t xml:space="preserve"> </w:t>
      </w:r>
      <w:r>
        <w:t>Р.Р. Бадертдинов</w:t>
      </w:r>
    </w:p>
    <w:p w14:paraId="12000000">
      <w:pPr>
        <w:widowControl w:val="0"/>
        <w:spacing w:line="240" w:lineRule="exact"/>
        <w:ind/>
      </w:pPr>
    </w:p>
    <w:tbl>
      <w:tblPr>
        <w:tblStyle w:val="Style_5"/>
        <w:tblW w:type="auto" w:w="0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639"/>
      </w:tblGrid>
      <w:tr>
        <w:trPr>
          <w:trHeight w:hRule="atLeast" w:val="485"/>
        </w:trPr>
        <w:tc>
          <w:tcPr>
            <w:tcW w:type="dxa" w:w="9639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3000000">
            <w:pPr>
              <w:widowControl w:val="0"/>
              <w:spacing w:line="360" w:lineRule="exact"/>
              <w:ind w:firstLine="0" w:left="1163"/>
              <w:rPr>
                <w:color w:themeColor="background1" w:themeShade="BF" w:val="BFBFBF"/>
                <w:sz w:val="24"/>
              </w:rPr>
            </w:pPr>
            <w:bookmarkStart w:id="3" w:name="SIGNERSTAMP1"/>
            <w:bookmarkEnd w:id="3"/>
            <w:r>
              <w:rPr>
                <w:color w:val="FF0000"/>
                <w:sz w:val="24"/>
              </w:rPr>
              <w:t xml:space="preserve">                                            </w:t>
            </w:r>
          </w:p>
        </w:tc>
      </w:tr>
    </w:tbl>
    <w:p w14:paraId="14000000">
      <w:pPr>
        <w:widowControl w:val="0"/>
        <w:tabs>
          <w:tab w:leader="none" w:pos="2268" w:val="left"/>
          <w:tab w:leader="none" w:pos="6804" w:val="left"/>
        </w:tabs>
        <w:ind/>
        <w:rPr>
          <w:sz w:val="20"/>
        </w:rPr>
      </w:pPr>
    </w:p>
    <w:sectPr>
      <w:headerReference r:id="rId1" w:type="default"/>
      <w:headerReference r:id="rId3" w:type="first"/>
      <w:headerReference r:id="rId5" w:type="even"/>
      <w:footerReference r:id="rId2" w:type="default"/>
      <w:footerReference r:id="rId4" w:type="first"/>
      <w:footerReference r:id="rId6" w:type="even"/>
      <w:pgSz w:h="16838" w:orient="portrait" w:w="11906"/>
      <w:pgMar w:bottom="568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5000000">
          <w:pPr>
            <w:widowControl w:val="0"/>
            <w:spacing w:after="60"/>
            <w:ind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14:paraId="06000000">
          <w:pPr>
            <w:widowControl w:val="0"/>
            <w:spacing w:after="6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7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0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0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ind/>
      <w:jc w:val="left"/>
    </w:pPr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Balloon Text"/>
    <w:basedOn w:val="Style_6"/>
    <w:link w:val="Style_11_ch"/>
    <w:rPr>
      <w:rFonts w:ascii="Segoe UI" w:hAnsi="Segoe UI"/>
      <w:sz w:val="18"/>
    </w:rPr>
  </w:style>
  <w:style w:styleId="Style_11_ch" w:type="character">
    <w:name w:val="Balloon Text"/>
    <w:basedOn w:val="Style_6_ch"/>
    <w:link w:val="Style_11"/>
    <w:rPr>
      <w:rFonts w:ascii="Segoe UI" w:hAnsi="Segoe UI"/>
      <w:sz w:val="18"/>
    </w:rPr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6"/>
    <w:link w:val="Style_13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" w:type="paragraph">
    <w:name w:val="header"/>
    <w:basedOn w:val="Style_6"/>
    <w:link w:val="Style_1_ch"/>
    <w:pPr>
      <w:widowControl w:val="0"/>
      <w:tabs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6_ch"/>
    <w:link w:val="Style_1"/>
  </w:style>
  <w:style w:styleId="Style_14" w:type="paragraph">
    <w:name w:val="Г)ПодпТочн"/>
    <w:basedOn w:val="Style_6"/>
    <w:link w:val="Style_14_ch"/>
    <w:pPr>
      <w:widowControl w:val="0"/>
      <w:spacing w:line="240" w:lineRule="exact"/>
      <w:ind/>
      <w:jc w:val="both"/>
    </w:pPr>
  </w:style>
  <w:style w:styleId="Style_14_ch" w:type="character">
    <w:name w:val="Г)ПодпТочн"/>
    <w:basedOn w:val="Style_6_ch"/>
    <w:link w:val="Style_14"/>
  </w:style>
  <w:style w:styleId="Style_2" w:type="paragraph">
    <w:name w:val="footer"/>
    <w:basedOn w:val="Style_6"/>
    <w:link w:val="Style_2_ch"/>
    <w:pPr>
      <w:widowControl w:val="0"/>
      <w:tabs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6_ch"/>
    <w:link w:val="Style_2"/>
  </w:style>
  <w:style w:styleId="Style_15" w:type="paragraph">
    <w:name w:val="toc 3"/>
    <w:next w:val="Style_6"/>
    <w:link w:val="Style_15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Б)ШапТочн"/>
    <w:basedOn w:val="Style_6"/>
    <w:link w:val="Style_16_ch"/>
    <w:pPr>
      <w:widowControl w:val="0"/>
      <w:spacing w:line="240" w:lineRule="exact"/>
      <w:ind w:firstLine="0" w:left="4820"/>
      <w:jc w:val="both"/>
    </w:pPr>
  </w:style>
  <w:style w:styleId="Style_16_ch" w:type="character">
    <w:name w:val="Б)ШапТочн"/>
    <w:basedOn w:val="Style_6_ch"/>
    <w:link w:val="Style_16"/>
  </w:style>
  <w:style w:styleId="Style_4" w:type="paragraph">
    <w:name w:val="А)КрСтр"/>
    <w:basedOn w:val="Style_6"/>
    <w:link w:val="Style_4_ch"/>
    <w:pPr>
      <w:widowControl w:val="0"/>
      <w:ind w:firstLine="709" w:left="0"/>
      <w:jc w:val="both"/>
    </w:pPr>
  </w:style>
  <w:style w:styleId="Style_4_ch" w:type="character">
    <w:name w:val="А)КрСтр"/>
    <w:basedOn w:val="Style_6_ch"/>
    <w:link w:val="Style_4"/>
  </w:style>
  <w:style w:styleId="Style_17" w:type="paragraph">
    <w:name w:val="heading 5"/>
    <w:next w:val="Style_6"/>
    <w:link w:val="Style_17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heading 1"/>
    <w:next w:val="Style_6"/>
    <w:link w:val="Style_19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6"/>
    <w:link w:val="Style_22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6"/>
    <w:link w:val="Style_24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В)ЦентТочн"/>
    <w:basedOn w:val="Style_6"/>
    <w:link w:val="Style_25_ch"/>
    <w:pPr>
      <w:widowControl w:val="0"/>
      <w:spacing w:line="240" w:lineRule="exact"/>
      <w:ind/>
      <w:jc w:val="center"/>
    </w:pPr>
  </w:style>
  <w:style w:styleId="Style_25_ch" w:type="character">
    <w:name w:val="В)ЦентТочн"/>
    <w:basedOn w:val="Style_6_ch"/>
    <w:link w:val="Style_25"/>
  </w:style>
  <w:style w:styleId="Style_26" w:type="paragraph">
    <w:name w:val="toc 8"/>
    <w:next w:val="Style_6"/>
    <w:link w:val="Style_26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6"/>
    <w:link w:val="Style_27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6"/>
    <w:link w:val="Style_28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6"/>
    <w:link w:val="Style_29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6"/>
    <w:link w:val="Style_30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6"/>
    <w:link w:val="Style_31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styleId="Style_5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2025-12-23T09:21:49Z</dcterms:created>
  <dcterms:modified xsi:type="dcterms:W3CDTF">2025-12-23T10:13:28Z</dcterms:modified>
</cp:coreProperties>
</file>